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03139E">
        <w:rPr>
          <w:rFonts w:ascii="Sylfaen" w:hAnsi="Sylfaen"/>
          <w:b/>
          <w:sz w:val="22"/>
        </w:rPr>
        <w:t>հոկ</w:t>
      </w:r>
      <w:r w:rsidR="00AB3656">
        <w:rPr>
          <w:rFonts w:ascii="Sylfaen" w:hAnsi="Sylfaen"/>
          <w:b/>
          <w:sz w:val="22"/>
        </w:rPr>
        <w:t>տեմբեր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3139E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4303D0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4303D0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կ</w:t>
      </w:r>
      <w:bookmarkStart w:id="0" w:name="_GoBack"/>
      <w:bookmarkEnd w:id="0"/>
      <w:r w:rsidRPr="00B1532E">
        <w:rPr>
          <w:rFonts w:ascii="Sylfaen" w:hAnsi="Sylfaen" w:cs="Sylfaen"/>
          <w:sz w:val="22"/>
        </w:rPr>
        <w:t>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03139E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F93A59">
        <w:rPr>
          <w:rFonts w:ascii="Sylfaen" w:hAnsi="Sylfaen"/>
          <w:b/>
          <w:sz w:val="22"/>
        </w:rPr>
        <w:t>68</w:t>
      </w:r>
      <w:r w:rsidR="0003139E">
        <w:rPr>
          <w:rFonts w:ascii="Sylfaen" w:hAnsi="Sylfaen"/>
          <w:b/>
          <w:sz w:val="22"/>
        </w:rPr>
        <w:t>3768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03139E">
        <w:rPr>
          <w:rFonts w:ascii="Sylfaen" w:hAnsi="Sylfaen"/>
          <w:sz w:val="22"/>
        </w:rPr>
        <w:t>1</w:t>
      </w:r>
      <w:r w:rsidRPr="000E1C0F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56408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sz w:val="22"/>
        </w:rPr>
        <w:t>5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1" w:name="OLE_LINK69"/>
      <w:bookmarkStart w:id="2" w:name="OLE_LINK70"/>
      <w:r w:rsidR="0003139E">
        <w:rPr>
          <w:rFonts w:ascii="Sylfaen" w:hAnsi="Sylfaen"/>
          <w:b/>
          <w:sz w:val="22"/>
        </w:rPr>
        <w:t>108564</w:t>
      </w:r>
      <w:r w:rsidRPr="00B1532E">
        <w:rPr>
          <w:rFonts w:ascii="Sylfaen" w:hAnsi="Sylfaen"/>
          <w:b/>
          <w:sz w:val="22"/>
        </w:rPr>
        <w:t xml:space="preserve"> </w:t>
      </w:r>
      <w:bookmarkEnd w:id="1"/>
      <w:bookmarkEnd w:id="2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03139E">
        <w:rPr>
          <w:rFonts w:ascii="Sylfaen" w:hAnsi="Sylfaen"/>
          <w:b/>
          <w:sz w:val="22"/>
        </w:rPr>
        <w:t>45452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23039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1116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0A089A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03139E">
        <w:rPr>
          <w:rFonts w:ascii="Sylfaen" w:hAnsi="Sylfaen" w:cs="Sylfaen"/>
          <w:b/>
          <w:sz w:val="22"/>
        </w:rPr>
        <w:t>2044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տարվա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03139E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812C72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1816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r w:rsidRPr="00B1532E">
        <w:rPr>
          <w:rFonts w:ascii="Sylfaen" w:hAnsi="Sylfaen" w:cs="Sylfaen"/>
          <w:sz w:val="22"/>
        </w:rPr>
        <w:t>պայմանական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03139E">
        <w:rPr>
          <w:rFonts w:ascii="Sylfaen" w:hAnsi="Sylfaen"/>
          <w:b/>
          <w:sz w:val="22"/>
        </w:rPr>
        <w:t>498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58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4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92" w:rsidRDefault="00363A92" w:rsidP="006C0244">
      <w:pPr>
        <w:spacing w:after="0" w:line="240" w:lineRule="auto"/>
      </w:pPr>
      <w:r>
        <w:separator/>
      </w:r>
    </w:p>
  </w:endnote>
  <w:endnote w:type="continuationSeparator" w:id="0">
    <w:p w:rsidR="00363A92" w:rsidRDefault="00363A92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92" w:rsidRDefault="00363A92" w:rsidP="006C0244">
      <w:pPr>
        <w:spacing w:after="0" w:line="240" w:lineRule="auto"/>
      </w:pPr>
      <w:r>
        <w:separator/>
      </w:r>
    </w:p>
  </w:footnote>
  <w:footnote w:type="continuationSeparator" w:id="0">
    <w:p w:rsidR="00363A92" w:rsidRDefault="00363A92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141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646C2"/>
    <w:rsid w:val="000935D7"/>
    <w:rsid w:val="00097B9F"/>
    <w:rsid w:val="000A089A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3A92"/>
    <w:rsid w:val="00364ECF"/>
    <w:rsid w:val="00391A44"/>
    <w:rsid w:val="003B145E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2F70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109</cp:revision>
  <cp:lastPrinted>2013-11-14T09:56:00Z</cp:lastPrinted>
  <dcterms:created xsi:type="dcterms:W3CDTF">2011-12-09T09:30:00Z</dcterms:created>
  <dcterms:modified xsi:type="dcterms:W3CDTF">2018-01-21T23:51:00Z</dcterms:modified>
</cp:coreProperties>
</file>